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5F" w:rsidRDefault="00645BFC" w:rsidP="00645BFC">
      <w:pPr>
        <w:spacing w:line="320" w:lineRule="exact"/>
        <w:jc w:val="center"/>
        <w:rPr>
          <w:rFonts w:asciiTheme="majorEastAsia" w:eastAsiaTheme="majorEastAsia" w:hAnsiTheme="majorEastAsia"/>
          <w:sz w:val="32"/>
          <w:szCs w:val="32"/>
        </w:rPr>
      </w:pPr>
      <w:r w:rsidRPr="00645BFC">
        <w:rPr>
          <w:rFonts w:asciiTheme="majorEastAsia" w:eastAsiaTheme="majorEastAsia" w:hAnsiTheme="majorEastAsia" w:hint="eastAsia"/>
          <w:sz w:val="32"/>
          <w:szCs w:val="32"/>
        </w:rPr>
        <w:t>出展テントでの火気使用に係る留意事項について</w:t>
      </w:r>
    </w:p>
    <w:p w:rsidR="00645BFC" w:rsidRDefault="00645BFC" w:rsidP="004D5EA8">
      <w:pPr>
        <w:spacing w:line="300" w:lineRule="exact"/>
        <w:jc w:val="center"/>
        <w:rPr>
          <w:rFonts w:asciiTheme="majorEastAsia" w:eastAsiaTheme="majorEastAsia" w:hAnsiTheme="majorEastAsia"/>
          <w:sz w:val="32"/>
          <w:szCs w:val="32"/>
        </w:rPr>
      </w:pPr>
    </w:p>
    <w:p w:rsidR="00645BFC" w:rsidRPr="00645BFC" w:rsidRDefault="00645BFC" w:rsidP="004D5EA8">
      <w:pPr>
        <w:spacing w:line="300" w:lineRule="exact"/>
        <w:jc w:val="center"/>
        <w:rPr>
          <w:rFonts w:asciiTheme="majorEastAsia" w:eastAsiaTheme="majorEastAsia" w:hAnsiTheme="majorEastAsia"/>
          <w:sz w:val="32"/>
          <w:szCs w:val="32"/>
        </w:rPr>
      </w:pPr>
    </w:p>
    <w:p w:rsidR="00645BFC" w:rsidRPr="00645BFC" w:rsidRDefault="00645BFC" w:rsidP="004D5EA8">
      <w:pPr>
        <w:spacing w:line="300" w:lineRule="exact"/>
        <w:rPr>
          <w:rFonts w:asciiTheme="majorEastAsia" w:eastAsiaTheme="majorEastAsia" w:hAnsiTheme="majorEastAsia"/>
        </w:rPr>
      </w:pPr>
      <w:r w:rsidRPr="00645BFC">
        <w:rPr>
          <w:rFonts w:asciiTheme="majorEastAsia" w:eastAsiaTheme="majorEastAsia" w:hAnsiTheme="majorEastAsia" w:hint="eastAsia"/>
        </w:rPr>
        <w:t xml:space="preserve">　甲府地区広域行政事務組合火災予防条例において、</w:t>
      </w:r>
      <w:r w:rsidRPr="004D7943">
        <w:rPr>
          <w:rFonts w:asciiTheme="majorEastAsia" w:eastAsiaTheme="majorEastAsia" w:hAnsiTheme="majorEastAsia" w:hint="eastAsia"/>
          <w:u w:val="single"/>
        </w:rPr>
        <w:t>「対象火気器具」</w:t>
      </w:r>
      <w:r w:rsidRPr="00645BFC">
        <w:rPr>
          <w:rFonts w:asciiTheme="majorEastAsia" w:eastAsiaTheme="majorEastAsia" w:hAnsiTheme="majorEastAsia" w:hint="eastAsia"/>
        </w:rPr>
        <w:t>に該当する火気器具を使用するテント出展者は、テント内に初期消火用の</w:t>
      </w:r>
      <w:r w:rsidRPr="004D7943">
        <w:rPr>
          <w:rFonts w:asciiTheme="majorEastAsia" w:eastAsiaTheme="majorEastAsia" w:hAnsiTheme="majorEastAsia" w:hint="eastAsia"/>
          <w:u w:val="single"/>
        </w:rPr>
        <w:t>「消火器」</w:t>
      </w:r>
      <w:r w:rsidRPr="00645BFC">
        <w:rPr>
          <w:rFonts w:asciiTheme="majorEastAsia" w:eastAsiaTheme="majorEastAsia" w:hAnsiTheme="majorEastAsia" w:hint="eastAsia"/>
        </w:rPr>
        <w:t>（住宅用は除く）を備えることが義務づけられています。</w:t>
      </w:r>
    </w:p>
    <w:p w:rsidR="00645BFC" w:rsidRPr="00645BFC" w:rsidRDefault="00645BFC" w:rsidP="004D5EA8">
      <w:pPr>
        <w:spacing w:line="300" w:lineRule="exact"/>
        <w:rPr>
          <w:rFonts w:asciiTheme="majorEastAsia" w:eastAsiaTheme="majorEastAsia" w:hAnsiTheme="majorEastAsia"/>
        </w:rPr>
      </w:pPr>
    </w:p>
    <w:p w:rsidR="000E1C72" w:rsidRDefault="00645BFC" w:rsidP="000E1C72">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w:t>
      </w:r>
      <w:r w:rsidR="007D28A9">
        <w:rPr>
          <w:rFonts w:asciiTheme="majorEastAsia" w:eastAsiaTheme="majorEastAsia" w:hAnsiTheme="majorEastAsia" w:hint="eastAsia"/>
        </w:rPr>
        <w:t xml:space="preserve">　「</w:t>
      </w:r>
      <w:r w:rsidRPr="00645BFC">
        <w:rPr>
          <w:rFonts w:asciiTheme="majorEastAsia" w:eastAsiaTheme="majorEastAsia" w:hAnsiTheme="majorEastAsia" w:hint="eastAsia"/>
        </w:rPr>
        <w:t>対象火気器具」とは、食品調理、暖房等の用途や</w:t>
      </w:r>
      <w:r w:rsidR="007D28A9">
        <w:rPr>
          <w:rFonts w:asciiTheme="majorEastAsia" w:eastAsiaTheme="majorEastAsia" w:hAnsiTheme="majorEastAsia" w:hint="eastAsia"/>
        </w:rPr>
        <w:t>、</w:t>
      </w:r>
      <w:r w:rsidRPr="006E1EF3">
        <w:rPr>
          <w:rFonts w:asciiTheme="majorEastAsia" w:eastAsiaTheme="majorEastAsia" w:hAnsiTheme="majorEastAsia" w:hint="eastAsia"/>
        </w:rPr>
        <w:t>熱源・燃料（電気・ガス・石油・木炭等）を問わず</w:t>
      </w:r>
      <w:r w:rsidRPr="007D28A9">
        <w:rPr>
          <w:rFonts w:asciiTheme="majorEastAsia" w:eastAsiaTheme="majorEastAsia" w:hAnsiTheme="majorEastAsia" w:hint="eastAsia"/>
        </w:rPr>
        <w:t>、</w:t>
      </w:r>
      <w:r w:rsidRPr="006E1EF3">
        <w:rPr>
          <w:rFonts w:asciiTheme="majorEastAsia" w:eastAsiaTheme="majorEastAsia" w:hAnsiTheme="majorEastAsia" w:hint="eastAsia"/>
          <w:u w:val="single"/>
        </w:rPr>
        <w:t>その使用に際し</w:t>
      </w:r>
      <w:r w:rsidR="007D28A9" w:rsidRPr="006E1EF3">
        <w:rPr>
          <w:rFonts w:asciiTheme="majorEastAsia" w:eastAsiaTheme="majorEastAsia" w:hAnsiTheme="majorEastAsia" w:hint="eastAsia"/>
          <w:u w:val="single"/>
        </w:rPr>
        <w:t>火</w:t>
      </w:r>
      <w:r w:rsidR="007D28A9">
        <w:rPr>
          <w:rFonts w:asciiTheme="majorEastAsia" w:eastAsiaTheme="majorEastAsia" w:hAnsiTheme="majorEastAsia" w:hint="eastAsia"/>
          <w:u w:val="single"/>
        </w:rPr>
        <w:t>炎や</w:t>
      </w:r>
      <w:r w:rsidRPr="004D7943">
        <w:rPr>
          <w:rFonts w:asciiTheme="majorEastAsia" w:eastAsiaTheme="majorEastAsia" w:hAnsiTheme="majorEastAsia" w:hint="eastAsia"/>
          <w:u w:val="single"/>
        </w:rPr>
        <w:t>発熱が生じ（火が直接見えない物も含む）</w:t>
      </w:r>
      <w:r w:rsidRPr="006E1EF3">
        <w:rPr>
          <w:rFonts w:asciiTheme="majorEastAsia" w:eastAsiaTheme="majorEastAsia" w:hAnsiTheme="majorEastAsia" w:hint="eastAsia"/>
        </w:rPr>
        <w:t>、火災発生のおそれがある</w:t>
      </w:r>
      <w:r w:rsidR="007D28A9" w:rsidRPr="006E1EF3">
        <w:rPr>
          <w:rFonts w:asciiTheme="majorEastAsia" w:eastAsiaTheme="majorEastAsia" w:hAnsiTheme="majorEastAsia" w:hint="eastAsia"/>
        </w:rPr>
        <w:t>、</w:t>
      </w:r>
      <w:r w:rsidR="009F45A3">
        <w:rPr>
          <w:rFonts w:asciiTheme="majorEastAsia" w:eastAsiaTheme="majorEastAsia" w:hAnsiTheme="majorEastAsia" w:hint="eastAsia"/>
        </w:rPr>
        <w:t>次の１～４の</w:t>
      </w:r>
      <w:r w:rsidRPr="007D28A9">
        <w:rPr>
          <w:rFonts w:asciiTheme="majorEastAsia" w:eastAsiaTheme="majorEastAsia" w:hAnsiTheme="majorEastAsia" w:hint="eastAsia"/>
        </w:rPr>
        <w:t>器具</w:t>
      </w:r>
      <w:r w:rsidR="009F45A3">
        <w:rPr>
          <w:rFonts w:asciiTheme="majorEastAsia" w:eastAsiaTheme="majorEastAsia" w:hAnsiTheme="majorEastAsia" w:hint="eastAsia"/>
        </w:rPr>
        <w:t>のことをいいます</w:t>
      </w:r>
      <w:r w:rsidRPr="00645BFC">
        <w:rPr>
          <w:rFonts w:asciiTheme="majorEastAsia" w:eastAsiaTheme="majorEastAsia" w:hAnsiTheme="majorEastAsia" w:hint="eastAsia"/>
        </w:rPr>
        <w:t>。</w:t>
      </w:r>
    </w:p>
    <w:p w:rsidR="000E1C72" w:rsidRPr="00645BFC" w:rsidRDefault="000E1C72" w:rsidP="000E1C72">
      <w:pPr>
        <w:spacing w:line="300" w:lineRule="exac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8240" behindDoc="0" locked="0" layoutInCell="1" allowOverlap="1" wp14:anchorId="54049F16" wp14:editId="5057EFB9">
            <wp:simplePos x="0" y="0"/>
            <wp:positionH relativeFrom="column">
              <wp:posOffset>584835</wp:posOffset>
            </wp:positionH>
            <wp:positionV relativeFrom="paragraph">
              <wp:posOffset>62865</wp:posOffset>
            </wp:positionV>
            <wp:extent cx="5553075" cy="3288665"/>
            <wp:effectExtent l="0" t="0" r="952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328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BFC" w:rsidRPr="000E1C72"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7D28A9">
      <w:pPr>
        <w:tabs>
          <w:tab w:val="left" w:pos="567"/>
        </w:tabs>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Pr="00645BFC" w:rsidRDefault="00645BFC" w:rsidP="004D5EA8">
      <w:pPr>
        <w:spacing w:line="300" w:lineRule="exact"/>
        <w:ind w:left="225" w:hangingChars="100" w:hanging="225"/>
        <w:rPr>
          <w:rFonts w:asciiTheme="majorEastAsia" w:eastAsiaTheme="majorEastAsia" w:hAnsiTheme="majorEastAsia"/>
        </w:rPr>
      </w:pPr>
    </w:p>
    <w:p w:rsidR="00001A98" w:rsidRDefault="00001A98" w:rsidP="00001A98">
      <w:pPr>
        <w:spacing w:line="300" w:lineRule="exact"/>
        <w:rPr>
          <w:rFonts w:asciiTheme="majorEastAsia" w:eastAsiaTheme="majorEastAsia" w:hAnsiTheme="majorEastAsia"/>
        </w:rPr>
      </w:pPr>
    </w:p>
    <w:p w:rsidR="00001A98" w:rsidRDefault="00001A98" w:rsidP="00001A9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7D28A9">
        <w:rPr>
          <w:rFonts w:asciiTheme="majorEastAsia" w:eastAsiaTheme="majorEastAsia" w:hAnsiTheme="majorEastAsia" w:hint="eastAsia"/>
        </w:rPr>
        <w:t>別紙</w:t>
      </w:r>
      <w:r w:rsidR="007D28A9" w:rsidRPr="00645BFC">
        <w:rPr>
          <w:rFonts w:asciiTheme="majorEastAsia" w:eastAsiaTheme="majorEastAsia" w:hAnsiTheme="majorEastAsia" w:hint="eastAsia"/>
        </w:rPr>
        <w:t>「出展テントでの対象火気器具等一覧表」の記入例</w:t>
      </w:r>
      <w:r>
        <w:rPr>
          <w:rFonts w:asciiTheme="majorEastAsia" w:eastAsiaTheme="majorEastAsia" w:hAnsiTheme="majorEastAsia" w:hint="eastAsia"/>
        </w:rPr>
        <w:t>も参考にしてください。</w:t>
      </w:r>
    </w:p>
    <w:p w:rsidR="000E1C72" w:rsidRDefault="00001A98" w:rsidP="006E1EF3">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006E1EF3">
        <w:rPr>
          <w:rFonts w:asciiTheme="majorEastAsia" w:eastAsiaTheme="majorEastAsia" w:hAnsiTheme="majorEastAsia" w:hint="eastAsia"/>
        </w:rPr>
        <w:t>過去に、</w:t>
      </w:r>
      <w:r w:rsidR="00354305" w:rsidRPr="00645BFC">
        <w:rPr>
          <w:rFonts w:asciiTheme="majorEastAsia" w:eastAsiaTheme="majorEastAsia" w:hAnsiTheme="majorEastAsia" w:hint="eastAsia"/>
        </w:rPr>
        <w:t>ホットプレート、湯沸かし器、コーヒーメーカー、電気ポット、電気カーペット、電熱器、コンプレッサー（ガソリンエンジン）</w:t>
      </w:r>
      <w:r>
        <w:rPr>
          <w:rFonts w:asciiTheme="majorEastAsia" w:eastAsiaTheme="majorEastAsia" w:hAnsiTheme="majorEastAsia" w:hint="eastAsia"/>
        </w:rPr>
        <w:t>等にも</w:t>
      </w:r>
      <w:r w:rsidR="006E1EF3">
        <w:rPr>
          <w:rFonts w:asciiTheme="majorEastAsia" w:eastAsiaTheme="majorEastAsia" w:hAnsiTheme="majorEastAsia" w:hint="eastAsia"/>
        </w:rPr>
        <w:t>、消火器を</w:t>
      </w:r>
      <w:r>
        <w:rPr>
          <w:rFonts w:asciiTheme="majorEastAsia" w:eastAsiaTheme="majorEastAsia" w:hAnsiTheme="majorEastAsia" w:hint="eastAsia"/>
        </w:rPr>
        <w:t>備える</w:t>
      </w:r>
      <w:r w:rsidR="006E1EF3">
        <w:rPr>
          <w:rFonts w:asciiTheme="majorEastAsia" w:eastAsiaTheme="majorEastAsia" w:hAnsiTheme="majorEastAsia" w:hint="eastAsia"/>
        </w:rPr>
        <w:t>よう、消防署の指導がありました</w:t>
      </w:r>
      <w:r>
        <w:rPr>
          <w:rFonts w:asciiTheme="majorEastAsia" w:eastAsiaTheme="majorEastAsia" w:hAnsiTheme="majorEastAsia" w:hint="eastAsia"/>
        </w:rPr>
        <w:t>。</w:t>
      </w:r>
    </w:p>
    <w:p w:rsidR="000E1C72" w:rsidRDefault="000E1C72" w:rsidP="004D5EA8">
      <w:pPr>
        <w:spacing w:line="300" w:lineRule="exact"/>
        <w:ind w:left="225" w:hangingChars="100" w:hanging="225"/>
        <w:rPr>
          <w:rFonts w:asciiTheme="majorEastAsia" w:eastAsiaTheme="majorEastAsia" w:hAnsiTheme="majorEastAsia"/>
        </w:rPr>
      </w:pPr>
    </w:p>
    <w:p w:rsidR="00645BFC" w:rsidRPr="00645BFC" w:rsidRDefault="00645BFC" w:rsidP="004D5EA8">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005708DC">
        <w:rPr>
          <w:rFonts w:asciiTheme="majorEastAsia" w:eastAsiaTheme="majorEastAsia" w:hAnsiTheme="majorEastAsia" w:hint="eastAsia"/>
        </w:rPr>
        <w:t>「</w:t>
      </w:r>
      <w:r w:rsidR="000E1C72">
        <w:rPr>
          <w:rFonts w:asciiTheme="majorEastAsia" w:eastAsiaTheme="majorEastAsia" w:hAnsiTheme="majorEastAsia" w:hint="eastAsia"/>
        </w:rPr>
        <w:t>対象火気器具</w:t>
      </w:r>
      <w:r w:rsidR="005708DC">
        <w:rPr>
          <w:rFonts w:asciiTheme="majorEastAsia" w:eastAsiaTheme="majorEastAsia" w:hAnsiTheme="majorEastAsia" w:hint="eastAsia"/>
        </w:rPr>
        <w:t>」</w:t>
      </w:r>
      <w:r w:rsidR="000E1C72">
        <w:rPr>
          <w:rFonts w:asciiTheme="majorEastAsia" w:eastAsiaTheme="majorEastAsia" w:hAnsiTheme="majorEastAsia" w:hint="eastAsia"/>
        </w:rPr>
        <w:t>を使用する出展テントごとに、テント内の「対象</w:t>
      </w:r>
      <w:r w:rsidRPr="00645BFC">
        <w:rPr>
          <w:rFonts w:asciiTheme="majorEastAsia" w:eastAsiaTheme="majorEastAsia" w:hAnsiTheme="majorEastAsia" w:hint="eastAsia"/>
        </w:rPr>
        <w:t>火気器具</w:t>
      </w:r>
      <w:r w:rsidR="000E1C72">
        <w:rPr>
          <w:rFonts w:asciiTheme="majorEastAsia" w:eastAsiaTheme="majorEastAsia" w:hAnsiTheme="majorEastAsia" w:hint="eastAsia"/>
        </w:rPr>
        <w:t>」</w:t>
      </w:r>
      <w:r w:rsidRPr="00645BFC">
        <w:rPr>
          <w:rFonts w:asciiTheme="majorEastAsia" w:eastAsiaTheme="majorEastAsia" w:hAnsiTheme="majorEastAsia" w:hint="eastAsia"/>
        </w:rPr>
        <w:t>と</w:t>
      </w:r>
      <w:r w:rsidR="000E1C72">
        <w:rPr>
          <w:rFonts w:asciiTheme="majorEastAsia" w:eastAsiaTheme="majorEastAsia" w:hAnsiTheme="majorEastAsia" w:hint="eastAsia"/>
        </w:rPr>
        <w:t>「</w:t>
      </w:r>
      <w:r w:rsidRPr="00645BFC">
        <w:rPr>
          <w:rFonts w:asciiTheme="majorEastAsia" w:eastAsiaTheme="majorEastAsia" w:hAnsiTheme="majorEastAsia" w:hint="eastAsia"/>
        </w:rPr>
        <w:t>消火器</w:t>
      </w:r>
      <w:r w:rsidR="000E1C72">
        <w:rPr>
          <w:rFonts w:asciiTheme="majorEastAsia" w:eastAsiaTheme="majorEastAsia" w:hAnsiTheme="majorEastAsia" w:hint="eastAsia"/>
        </w:rPr>
        <w:t>」</w:t>
      </w:r>
      <w:r w:rsidRPr="00645BFC">
        <w:rPr>
          <w:rFonts w:asciiTheme="majorEastAsia" w:eastAsiaTheme="majorEastAsia" w:hAnsiTheme="majorEastAsia" w:hint="eastAsia"/>
        </w:rPr>
        <w:t>の配置図を作成し、管轄の消防本部に提出する必要があります。</w:t>
      </w:r>
    </w:p>
    <w:p w:rsidR="00645BFC" w:rsidRPr="00645BFC" w:rsidRDefault="00645BFC" w:rsidP="004D5EA8">
      <w:pPr>
        <w:spacing w:line="300" w:lineRule="exact"/>
        <w:ind w:left="225" w:hangingChars="100" w:hanging="225"/>
        <w:rPr>
          <w:rFonts w:asciiTheme="majorEastAsia" w:eastAsiaTheme="majorEastAsia" w:hAnsiTheme="majorEastAsia"/>
        </w:rPr>
      </w:pPr>
      <w:r w:rsidRPr="00645BF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45BFC">
        <w:rPr>
          <w:rFonts w:asciiTheme="majorEastAsia" w:eastAsiaTheme="majorEastAsia" w:hAnsiTheme="majorEastAsia" w:hint="eastAsia"/>
        </w:rPr>
        <w:t>実行委員会が取りまとめて提出しますので、【様式</w:t>
      </w:r>
      <w:r w:rsidR="009F45A3">
        <w:rPr>
          <w:rFonts w:asciiTheme="majorEastAsia" w:eastAsiaTheme="majorEastAsia" w:hAnsiTheme="majorEastAsia" w:hint="eastAsia"/>
        </w:rPr>
        <w:t>1-3：</w:t>
      </w:r>
      <w:r w:rsidRPr="00645BFC">
        <w:rPr>
          <w:rFonts w:asciiTheme="majorEastAsia" w:eastAsiaTheme="majorEastAsia" w:hAnsiTheme="majorEastAsia" w:hint="eastAsia"/>
        </w:rPr>
        <w:t>出展テント内の平面図】に、使用する全ての</w:t>
      </w:r>
      <w:r w:rsidR="000E1C72" w:rsidRPr="006E1EF3">
        <w:rPr>
          <w:rFonts w:asciiTheme="majorEastAsia" w:eastAsiaTheme="majorEastAsia" w:hAnsiTheme="majorEastAsia" w:hint="eastAsia"/>
          <w:u w:val="single"/>
        </w:rPr>
        <w:t>「対象</w:t>
      </w:r>
      <w:r w:rsidRPr="006E1EF3">
        <w:rPr>
          <w:rFonts w:asciiTheme="majorEastAsia" w:eastAsiaTheme="majorEastAsia" w:hAnsiTheme="majorEastAsia" w:hint="eastAsia"/>
          <w:u w:val="single"/>
        </w:rPr>
        <w:t>火気器具</w:t>
      </w:r>
      <w:r w:rsidR="000E1C72" w:rsidRPr="006E1EF3">
        <w:rPr>
          <w:rFonts w:asciiTheme="majorEastAsia" w:eastAsiaTheme="majorEastAsia" w:hAnsiTheme="majorEastAsia" w:hint="eastAsia"/>
          <w:u w:val="single"/>
        </w:rPr>
        <w:t>」</w:t>
      </w:r>
      <w:r w:rsidRPr="006E1EF3">
        <w:rPr>
          <w:rFonts w:asciiTheme="majorEastAsia" w:eastAsiaTheme="majorEastAsia" w:hAnsiTheme="majorEastAsia" w:hint="eastAsia"/>
          <w:u w:val="single"/>
        </w:rPr>
        <w:t>と</w:t>
      </w:r>
      <w:r w:rsidR="000E1C72" w:rsidRPr="006E1EF3">
        <w:rPr>
          <w:rFonts w:asciiTheme="majorEastAsia" w:eastAsiaTheme="majorEastAsia" w:hAnsiTheme="majorEastAsia" w:hint="eastAsia"/>
          <w:u w:val="single"/>
        </w:rPr>
        <w:t>「</w:t>
      </w:r>
      <w:r w:rsidRPr="006E1EF3">
        <w:rPr>
          <w:rFonts w:asciiTheme="majorEastAsia" w:eastAsiaTheme="majorEastAsia" w:hAnsiTheme="majorEastAsia" w:hint="eastAsia"/>
          <w:u w:val="single"/>
        </w:rPr>
        <w:t>消火器</w:t>
      </w:r>
      <w:r w:rsidR="000E1C72" w:rsidRPr="006E1EF3">
        <w:rPr>
          <w:rFonts w:asciiTheme="majorEastAsia" w:eastAsiaTheme="majorEastAsia" w:hAnsiTheme="majorEastAsia" w:hint="eastAsia"/>
          <w:u w:val="single"/>
        </w:rPr>
        <w:t>」</w:t>
      </w:r>
      <w:r w:rsidRPr="006E1EF3">
        <w:rPr>
          <w:rFonts w:asciiTheme="majorEastAsia" w:eastAsiaTheme="majorEastAsia" w:hAnsiTheme="majorEastAsia" w:hint="eastAsia"/>
          <w:u w:val="single"/>
        </w:rPr>
        <w:t>の配置</w:t>
      </w:r>
      <w:r w:rsidRPr="00645BFC">
        <w:rPr>
          <w:rFonts w:asciiTheme="majorEastAsia" w:eastAsiaTheme="majorEastAsia" w:hAnsiTheme="majorEastAsia" w:hint="eastAsia"/>
        </w:rPr>
        <w:t xml:space="preserve">を、必ず記載してください。　　</w:t>
      </w:r>
    </w:p>
    <w:p w:rsidR="00645BFC" w:rsidRPr="004D7943" w:rsidRDefault="00645BFC" w:rsidP="004D5EA8">
      <w:pPr>
        <w:spacing w:line="300" w:lineRule="exact"/>
        <w:ind w:left="225" w:hangingChars="100" w:hanging="225"/>
        <w:rPr>
          <w:rFonts w:asciiTheme="majorEastAsia" w:eastAsiaTheme="majorEastAsia" w:hAnsiTheme="majorEastAsia"/>
          <w:u w:val="single"/>
        </w:rPr>
      </w:pPr>
      <w:r w:rsidRPr="00645BF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D7943">
        <w:rPr>
          <w:rFonts w:asciiTheme="majorEastAsia" w:eastAsiaTheme="majorEastAsia" w:hAnsiTheme="majorEastAsia" w:hint="eastAsia"/>
          <w:u w:val="single"/>
        </w:rPr>
        <w:t>見取り図に配置の記載が無い場合は、</w:t>
      </w:r>
      <w:r w:rsidR="006E1EF3">
        <w:rPr>
          <w:rFonts w:asciiTheme="majorEastAsia" w:eastAsiaTheme="majorEastAsia" w:hAnsiTheme="majorEastAsia" w:hint="eastAsia"/>
          <w:u w:val="single"/>
        </w:rPr>
        <w:t>書類不十分のため</w:t>
      </w:r>
      <w:r w:rsidRPr="004D7943">
        <w:rPr>
          <w:rFonts w:asciiTheme="majorEastAsia" w:eastAsiaTheme="majorEastAsia" w:hAnsiTheme="majorEastAsia" w:hint="eastAsia"/>
          <w:u w:val="single"/>
        </w:rPr>
        <w:t>、出展決定ができません</w:t>
      </w:r>
      <w:r w:rsidRPr="004D7943">
        <w:rPr>
          <w:rFonts w:asciiTheme="majorEastAsia" w:eastAsiaTheme="majorEastAsia" w:hAnsiTheme="majorEastAsia" w:hint="eastAsia"/>
        </w:rPr>
        <w:t>。</w:t>
      </w:r>
    </w:p>
    <w:p w:rsidR="00645BFC" w:rsidRPr="00645BFC" w:rsidRDefault="00645BFC" w:rsidP="004D5EA8">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009F45A3">
        <w:rPr>
          <w:rFonts w:asciiTheme="majorEastAsia" w:eastAsiaTheme="majorEastAsia" w:hAnsiTheme="majorEastAsia" w:hint="eastAsia"/>
        </w:rPr>
        <w:t>【様式1-4：</w:t>
      </w:r>
      <w:r w:rsidRPr="00645BFC">
        <w:rPr>
          <w:rFonts w:asciiTheme="majorEastAsia" w:eastAsiaTheme="majorEastAsia" w:hAnsiTheme="majorEastAsia" w:hint="eastAsia"/>
        </w:rPr>
        <w:t>出展テントでの対象火気器具等一覧表</w:t>
      </w:r>
      <w:r w:rsidR="009F45A3">
        <w:rPr>
          <w:rFonts w:asciiTheme="majorEastAsia" w:eastAsiaTheme="majorEastAsia" w:hAnsiTheme="majorEastAsia" w:hint="eastAsia"/>
        </w:rPr>
        <w:t>】</w:t>
      </w:r>
      <w:r w:rsidRPr="00645BFC">
        <w:rPr>
          <w:rFonts w:asciiTheme="majorEastAsia" w:eastAsiaTheme="majorEastAsia" w:hAnsiTheme="majorEastAsia" w:hint="eastAsia"/>
        </w:rPr>
        <w:t>も、実行委員会が消防本部に提出する火災予防計画の資料となりますので、必ず作成し、提出してください。</w:t>
      </w:r>
    </w:p>
    <w:p w:rsidR="00645BFC" w:rsidRPr="00645BFC" w:rsidRDefault="00645BFC" w:rsidP="004D5EA8">
      <w:pPr>
        <w:spacing w:line="300" w:lineRule="exact"/>
        <w:ind w:left="225" w:hangingChars="100" w:hanging="225"/>
        <w:rPr>
          <w:rFonts w:asciiTheme="majorEastAsia" w:eastAsiaTheme="majorEastAsia" w:hAnsiTheme="majorEastAsia"/>
        </w:rPr>
      </w:pPr>
      <w:r w:rsidRPr="00645BF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D7943">
        <w:rPr>
          <w:rFonts w:asciiTheme="majorEastAsia" w:eastAsiaTheme="majorEastAsia" w:hAnsiTheme="majorEastAsia" w:hint="eastAsia"/>
          <w:u w:val="single"/>
        </w:rPr>
        <w:t>当該一覧表の提出がない場合</w:t>
      </w:r>
      <w:r w:rsidR="000C1576">
        <w:rPr>
          <w:rFonts w:asciiTheme="majorEastAsia" w:eastAsiaTheme="majorEastAsia" w:hAnsiTheme="majorEastAsia" w:hint="eastAsia"/>
          <w:u w:val="single"/>
        </w:rPr>
        <w:t>は</w:t>
      </w:r>
      <w:r w:rsidRPr="004D7943">
        <w:rPr>
          <w:rFonts w:asciiTheme="majorEastAsia" w:eastAsiaTheme="majorEastAsia" w:hAnsiTheme="majorEastAsia" w:hint="eastAsia"/>
          <w:u w:val="single"/>
        </w:rPr>
        <w:t>、書類不十分のため、出展決定ができません</w:t>
      </w:r>
      <w:r w:rsidRPr="00645BFC">
        <w:rPr>
          <w:rFonts w:asciiTheme="majorEastAsia" w:eastAsiaTheme="majorEastAsia" w:hAnsiTheme="majorEastAsia" w:hint="eastAsia"/>
        </w:rPr>
        <w:t>。</w:t>
      </w:r>
    </w:p>
    <w:p w:rsidR="00645BFC" w:rsidRPr="00645BFC" w:rsidRDefault="00645BFC" w:rsidP="004D5EA8">
      <w:pPr>
        <w:spacing w:line="300" w:lineRule="exact"/>
        <w:rPr>
          <w:rFonts w:asciiTheme="majorEastAsia" w:eastAsiaTheme="majorEastAsia" w:hAnsiTheme="majorEastAsia"/>
        </w:rPr>
      </w:pPr>
    </w:p>
    <w:p w:rsidR="00645BFC" w:rsidRPr="00645BFC" w:rsidRDefault="00645BFC" w:rsidP="004D5EA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645BFC">
        <w:rPr>
          <w:rFonts w:asciiTheme="majorEastAsia" w:eastAsiaTheme="majorEastAsia" w:hAnsiTheme="majorEastAsia" w:hint="eastAsia"/>
        </w:rPr>
        <w:t>出展テントに備えるべき「消火器」について</w:t>
      </w:r>
    </w:p>
    <w:p w:rsidR="00645BFC" w:rsidRPr="00645BFC" w:rsidRDefault="00645BFC" w:rsidP="004D5EA8">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Pr="00645BFC">
        <w:rPr>
          <w:rFonts w:asciiTheme="majorEastAsia" w:eastAsiaTheme="majorEastAsia" w:hAnsiTheme="majorEastAsia" w:hint="eastAsia"/>
        </w:rPr>
        <w:t>「消火器」とは、「消火器の技術上の基準を定める省令」（昭和３９年自治省令第２７号）第１条の２第１号に定める消火器で、水バケツ・エアゾール式簡易消火器具及び住宅用消火器は、該当しません。また、使用する消火器は、設計標準使用期限内で法令に従って点検された、良好なものとしてください。</w:t>
      </w:r>
    </w:p>
    <w:p w:rsidR="00645BFC" w:rsidRDefault="00645BFC" w:rsidP="004D5EA8">
      <w:pPr>
        <w:spacing w:line="300" w:lineRule="exact"/>
        <w:rPr>
          <w:rFonts w:asciiTheme="majorEastAsia" w:eastAsiaTheme="majorEastAsia" w:hAnsiTheme="majorEastAsia"/>
        </w:rPr>
      </w:pPr>
    </w:p>
    <w:p w:rsidR="00354305" w:rsidRPr="00645BFC" w:rsidRDefault="00BF471A" w:rsidP="007D28A9">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00F66D0A" w:rsidRPr="002F21C9">
        <w:rPr>
          <w:rFonts w:asciiTheme="majorEastAsia" w:eastAsiaTheme="majorEastAsia" w:hAnsiTheme="majorEastAsia" w:hint="eastAsia"/>
          <w:u w:val="single"/>
        </w:rPr>
        <w:t>ガスコンロ等</w:t>
      </w:r>
      <w:r w:rsidR="007D28A9" w:rsidRPr="002F21C9">
        <w:rPr>
          <w:rFonts w:asciiTheme="majorEastAsia" w:eastAsiaTheme="majorEastAsia" w:hAnsiTheme="majorEastAsia" w:hint="eastAsia"/>
          <w:u w:val="single"/>
        </w:rPr>
        <w:t>は不燃性の台、シート等の上</w:t>
      </w:r>
      <w:r w:rsidR="007D28A9">
        <w:rPr>
          <w:rFonts w:asciiTheme="majorEastAsia" w:eastAsiaTheme="majorEastAsia" w:hAnsiTheme="majorEastAsia" w:hint="eastAsia"/>
        </w:rPr>
        <w:t>に置くようにし、テーブル等に</w:t>
      </w:r>
      <w:r w:rsidR="007D28A9" w:rsidRPr="00054793">
        <w:rPr>
          <w:rFonts w:asciiTheme="majorEastAsia" w:eastAsiaTheme="majorEastAsia" w:hAnsiTheme="majorEastAsia" w:hint="eastAsia"/>
          <w:u w:val="single"/>
        </w:rPr>
        <w:t>直置きをしないでください</w:t>
      </w:r>
      <w:r w:rsidR="007D28A9" w:rsidRPr="00645BFC">
        <w:rPr>
          <w:rFonts w:asciiTheme="majorEastAsia" w:eastAsiaTheme="majorEastAsia" w:hAnsiTheme="majorEastAsia" w:hint="eastAsia"/>
        </w:rPr>
        <w:t>。</w:t>
      </w:r>
      <w:r w:rsidR="007D28A9">
        <w:rPr>
          <w:rFonts w:asciiTheme="majorEastAsia" w:eastAsiaTheme="majorEastAsia" w:hAnsiTheme="majorEastAsia" w:hint="eastAsia"/>
        </w:rPr>
        <w:t>また、周囲に可燃物を置かないでください。</w:t>
      </w:r>
      <w:r w:rsidR="00054793">
        <w:rPr>
          <w:rFonts w:asciiTheme="majorEastAsia" w:eastAsiaTheme="majorEastAsia" w:hAnsiTheme="majorEastAsia" w:hint="eastAsia"/>
        </w:rPr>
        <w:t>（</w:t>
      </w:r>
      <w:r>
        <w:rPr>
          <w:rFonts w:asciiTheme="majorEastAsia" w:eastAsiaTheme="majorEastAsia" w:hAnsiTheme="majorEastAsia" w:hint="eastAsia"/>
        </w:rPr>
        <w:t>消防署</w:t>
      </w:r>
      <w:r w:rsidR="003E52A4">
        <w:rPr>
          <w:rFonts w:asciiTheme="majorEastAsia" w:eastAsiaTheme="majorEastAsia" w:hAnsiTheme="majorEastAsia" w:hint="eastAsia"/>
        </w:rPr>
        <w:t>による</w:t>
      </w:r>
      <w:bookmarkStart w:id="0" w:name="_GoBack"/>
      <w:bookmarkEnd w:id="0"/>
      <w:r w:rsidR="00054793">
        <w:rPr>
          <w:rFonts w:asciiTheme="majorEastAsia" w:eastAsiaTheme="majorEastAsia" w:hAnsiTheme="majorEastAsia" w:hint="eastAsia"/>
        </w:rPr>
        <w:t>指導）</w:t>
      </w:r>
    </w:p>
    <w:sectPr w:rsidR="00354305" w:rsidRPr="00645BFC" w:rsidSect="006E1EF3">
      <w:pgSz w:w="11906" w:h="16838" w:code="9"/>
      <w:pgMar w:top="851" w:right="1134" w:bottom="284" w:left="1134" w:header="851" w:footer="992" w:gutter="0"/>
      <w:cols w:space="425"/>
      <w:docGrid w:type="linesAndChars" w:linePitch="348" w:charSpace="-29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C"/>
    <w:rsid w:val="00001A98"/>
    <w:rsid w:val="00023A32"/>
    <w:rsid w:val="00054793"/>
    <w:rsid w:val="000C1576"/>
    <w:rsid w:val="000E1C72"/>
    <w:rsid w:val="002F21C9"/>
    <w:rsid w:val="00354305"/>
    <w:rsid w:val="003E52A4"/>
    <w:rsid w:val="004D5EA8"/>
    <w:rsid w:val="004D7943"/>
    <w:rsid w:val="005708DC"/>
    <w:rsid w:val="00585D5F"/>
    <w:rsid w:val="00645BFC"/>
    <w:rsid w:val="006D249F"/>
    <w:rsid w:val="006E1EF3"/>
    <w:rsid w:val="007D28A9"/>
    <w:rsid w:val="009F45A3"/>
    <w:rsid w:val="00BF471A"/>
    <w:rsid w:val="00E50876"/>
    <w:rsid w:val="00F6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F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B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5B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F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B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5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3DE7-2320-4446-BC37-2C5C4A4E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13</cp:revision>
  <cp:lastPrinted>2018-06-13T05:26:00Z</cp:lastPrinted>
  <dcterms:created xsi:type="dcterms:W3CDTF">2017-06-13T02:21:00Z</dcterms:created>
  <dcterms:modified xsi:type="dcterms:W3CDTF">2018-06-13T05:26:00Z</dcterms:modified>
</cp:coreProperties>
</file>